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10485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3133"/>
        <w:gridCol w:w="7352"/>
        <w:tblGridChange w:id="0">
          <w:tblGrid>
            <w:gridCol w:w="3133"/>
            <w:gridCol w:w="7352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shd w:fill="fae2d6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 SERVICIOS PÚBLICOS OFERTADOS POR EL O.P.D. INSTITUTO JALISCIENSE DE CANCEROLOGÍA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Nombre del Servicio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Consulta de primera vez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Unidad administrativa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Dirección médica/Consulta Externa</w:t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Questrial" w:cs="Questrial" w:eastAsia="Questrial" w:hAnsi="Quest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Questrial" w:cs="Questrial" w:eastAsia="Questrial" w:hAnsi="Quest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estrial" w:cs="Questrial" w:eastAsia="Questrial" w:hAnsi="Quest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pPr w:leftFromText="141" w:rightFromText="141" w:topFromText="0" w:bottomFromText="0" w:vertAnchor="text" w:horzAnchor="text" w:tblpX="0" w:tblpY="0"/>
        <w:tblW w:w="10335.0" w:type="dxa"/>
        <w:jc w:val="left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400"/>
      </w:tblPr>
      <w:tblGrid>
        <w:gridCol w:w="2505"/>
        <w:gridCol w:w="3150"/>
        <w:gridCol w:w="1425"/>
        <w:gridCol w:w="3255"/>
        <w:tblGridChange w:id="0">
          <w:tblGrid>
            <w:gridCol w:w="2505"/>
            <w:gridCol w:w="3150"/>
            <w:gridCol w:w="1425"/>
            <w:gridCol w:w="3255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Procedimiento, requisitos y formatos. 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2"/>
                <w:szCs w:val="22"/>
                <w:rtl w:val="0"/>
              </w:rPr>
              <w:t xml:space="preserve">1. Presentar algún tipo de neoplasia.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2"/>
                <w:szCs w:val="22"/>
                <w:rtl w:val="0"/>
              </w:rPr>
              <w:t xml:space="preserve">2. Edad mayor de 17 años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2"/>
                <w:szCs w:val="22"/>
                <w:rtl w:val="0"/>
              </w:rPr>
              <w:t xml:space="preserve">3. Sexo indistinto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2"/>
                <w:szCs w:val="22"/>
                <w:rtl w:val="0"/>
              </w:rPr>
              <w:t xml:space="preserve">4. Acudir a solicitar su consulta médica.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2"/>
                <w:szCs w:val="22"/>
                <w:rtl w:val="0"/>
              </w:rPr>
              <w:t xml:space="preserve">5. Asistir a la consulta, el día y la hora en que se le indico con los siguientes documentos. (Acudir el día de su cita a la Caja del Instituto por su recibo de Consulta).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2"/>
                <w:szCs w:val="22"/>
                <w:rtl w:val="0"/>
              </w:rPr>
              <w:t xml:space="preserve">Documentación que debe llevar: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CURP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INE (Pasaporte, INE O Cédula Profesional)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Comprobante De Domicilio.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Acta De Nacimiento.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Estudios O Reporte Histopatológico.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Hoja De Referencia Constancia De No Derechohabiencia Al IMSS Constancia De Acreditación De No Afiliación Al ISSSTE (Solo Copias).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Número y tipo de beneficiarios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2"/>
                <w:szCs w:val="22"/>
                <w:rtl w:val="0"/>
              </w:rPr>
              <w:t xml:space="preserve">Pacientes mayores de 17 años que presenten alguna neoplasia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Recursos materiales humanos y financieros asignados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1" w:right="0" w:hanging="181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de Consulta Externa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1" w:right="0" w:hanging="181"/>
              <w:jc w:val="both"/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Médicos Especialistas en Oncología quirúrgica, oncología médica, médico radioterapeuta, recepcionista, enfermeras.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Costo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Questrial" w:cs="Questrial" w:eastAsia="Questrial" w:hAnsi="Quest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sz w:val="22"/>
                <w:szCs w:val="22"/>
                <w:rtl w:val="0"/>
              </w:rPr>
              <w:t xml:space="preserve">$85.00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Questrial" w:cs="Questrial" w:eastAsia="Questrial" w:hAnsi="Quest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Domicilio de las oficinas donde se realiza el trámite.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Questrial" w:cs="Questrial" w:eastAsia="Questrial" w:hAnsi="Quest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Puerto Guaymas N° 418 Col. Miramar, Zapopan, Jalisco.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Questrial" w:cs="Questrial" w:eastAsia="Questrial" w:hAnsi="Quest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2"/>
                <w:szCs w:val="22"/>
                <w:rtl w:val="0"/>
              </w:rPr>
              <w:t xml:space="preserve">Fundamento legal de su cobro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Questrial" w:cs="Questrial" w:eastAsia="Questrial" w:hAnsi="Questrial"/>
                <w:sz w:val="22"/>
                <w:szCs w:val="22"/>
              </w:rPr>
            </w:pPr>
            <w:r w:rsidDel="00000000" w:rsidR="00000000" w:rsidRPr="00000000">
              <w:rPr>
                <w:rFonts w:ascii="Questrial" w:cs="Questrial" w:eastAsia="Questrial" w:hAnsi="Questrial"/>
                <w:color w:val="000000"/>
                <w:sz w:val="22"/>
                <w:szCs w:val="22"/>
                <w:rtl w:val="0"/>
              </w:rPr>
              <w:t xml:space="preserve">"Decreto de Creación del Instituto Jalisciense de Cancerología. Tabulador de cuotas de recuperación vigente del IJC.”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5565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670"/>
        </w:tabs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B">
      <w:pPr>
        <w:tabs>
          <w:tab w:val="left" w:leader="none" w:pos="567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Questrial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4089400</wp:posOffset>
              </wp:positionH>
              <wp:positionV relativeFrom="paragraph">
                <wp:posOffset>-266699</wp:posOffset>
              </wp:positionV>
              <wp:extent cx="437515" cy="889000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27225" y="3335500"/>
                        <a:ext cx="437515" cy="889000"/>
                        <a:chOff x="5127225" y="3335500"/>
                        <a:chExt cx="436975" cy="889000"/>
                      </a:xfrm>
                    </wpg:grpSpPr>
                    <wpg:grpSp>
                      <wpg:cNvGrpSpPr/>
                      <wpg:grpSpPr>
                        <a:xfrm>
                          <a:off x="5127243" y="3335500"/>
                          <a:ext cx="437515" cy="889000"/>
                          <a:chOff x="116" y="-1120"/>
                          <a:chExt cx="527" cy="1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16" y="-1120"/>
                            <a:ext cx="525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31" y="-1120"/>
                            <a:ext cx="412" cy="1400"/>
                          </a:xfrm>
                          <a:custGeom>
                            <a:rect b="b" l="l" r="r" t="t"/>
                            <a:pathLst>
                              <a:path extrusionOk="0" h="1650" w="592">
                                <a:moveTo>
                                  <a:pt x="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9"/>
                                </a:lnTo>
                                <a:lnTo>
                                  <a:pt x="591" y="1649"/>
                                </a:lnTo>
                                <a:lnTo>
                                  <a:pt x="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184A">
                              <a:alpha val="74901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16" y="-1120"/>
                            <a:ext cx="123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4089400</wp:posOffset>
              </wp:positionH>
              <wp:positionV relativeFrom="paragraph">
                <wp:posOffset>-266699</wp:posOffset>
              </wp:positionV>
              <wp:extent cx="437515" cy="889000"/>
              <wp:effectExtent b="0" l="0" r="0" t="0"/>
              <wp:wrapSquare wrapText="bothSides" distB="0" distT="0" distL="114300" distR="11430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515" cy="889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-768349</wp:posOffset>
          </wp:positionH>
          <wp:positionV relativeFrom="paragraph">
            <wp:posOffset>-229234</wp:posOffset>
          </wp:positionV>
          <wp:extent cx="1704975" cy="51435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7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6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7560A9"/>
    <w:pPr>
      <w:spacing w:after="0" w:line="240" w:lineRule="auto"/>
    </w:pPr>
    <w:rPr>
      <w:rFonts w:ascii="Times New Roman" w:cs="Times New Roman" w:eastAsia="Times New Roman" w:hAnsi="Times New Roman"/>
      <w:kern w:val="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7560A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7560A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560A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7560A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7560A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7560A9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560A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560A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560A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560A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560A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560A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560A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560A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560A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560A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560A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560A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7560A9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560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560A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560A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560A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560A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560A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560A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560A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560A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560A9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7560A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60A9"/>
  </w:style>
  <w:style w:type="paragraph" w:styleId="Piedepgina">
    <w:name w:val="footer"/>
    <w:basedOn w:val="Normal"/>
    <w:link w:val="PiedepginaCar"/>
    <w:uiPriority w:val="99"/>
    <w:unhideWhenUsed w:val="1"/>
    <w:rsid w:val="007560A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60A9"/>
  </w:style>
  <w:style w:type="character" w:styleId="Hipervnculo">
    <w:name w:val="Hyperlink"/>
    <w:basedOn w:val="Fuentedeprrafopredeter"/>
    <w:uiPriority w:val="99"/>
    <w:unhideWhenUsed w:val="1"/>
    <w:rsid w:val="007560A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7560A9"/>
    <w:rPr>
      <w:color w:val="605e5c"/>
      <w:shd w:color="auto" w:fill="e1dfdd" w:val="clear"/>
    </w:rPr>
  </w:style>
  <w:style w:type="table" w:styleId="Tablaconcuadrcula">
    <w:name w:val="Table Grid"/>
    <w:basedOn w:val="Tablanormal"/>
    <w:rsid w:val="007560A9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es-MX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yKRMKKe71p4IcZe3oTGh2xbqA==">CgMxLjAyCGguZ2pkZ3hzOAByITFHZjZRMEJ4VXZEV21yRGE0SkhHTERsZk5ueTk4M2J2Uw==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2025-01-03T15:17:00Z</dcterms:created>
  <dc:creator>Betsy Rivera</dc:creator>
</cp:coreProperties>
</file>